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1E" w:rsidRDefault="00EC201E" w:rsidP="00EC201E">
      <w:pPr>
        <w:ind w:firstLine="5954"/>
        <w:rPr>
          <w:b/>
          <w:lang w:val="ru-RU"/>
        </w:rPr>
      </w:pPr>
      <w:r>
        <w:rPr>
          <w:b/>
          <w:lang w:val="ru-RU"/>
        </w:rPr>
        <w:t>ОДОБРИЛ:</w:t>
      </w:r>
    </w:p>
    <w:p w:rsidR="00EC201E" w:rsidRDefault="00EC201E" w:rsidP="00EC201E">
      <w:pPr>
        <w:ind w:firstLine="5670"/>
        <w:rPr>
          <w:b/>
          <w:lang w:val="ru-RU"/>
        </w:rPr>
      </w:pPr>
      <w:r>
        <w:rPr>
          <w:b/>
          <w:lang w:val="ru-RU"/>
        </w:rPr>
        <w:t xml:space="preserve">     ПЛАМЕН СТОИЛОВ</w:t>
      </w:r>
    </w:p>
    <w:p w:rsidR="00EC201E" w:rsidRPr="00907B32" w:rsidRDefault="00EC201E" w:rsidP="00EC201E">
      <w:pPr>
        <w:ind w:firstLine="5670"/>
        <w:rPr>
          <w:b/>
          <w:lang w:val="ru-RU"/>
        </w:rPr>
      </w:pPr>
      <w:r>
        <w:rPr>
          <w:b/>
          <w:lang w:val="ru-RU"/>
        </w:rPr>
        <w:t xml:space="preserve">     </w:t>
      </w:r>
      <w:proofErr w:type="spellStart"/>
      <w:r w:rsidRPr="0010578F">
        <w:rPr>
          <w:i/>
          <w:lang w:val="ru-RU"/>
        </w:rPr>
        <w:t>Кмет</w:t>
      </w:r>
      <w:proofErr w:type="spellEnd"/>
      <w:r w:rsidRPr="0010578F">
        <w:rPr>
          <w:i/>
          <w:lang w:val="ru-RU"/>
        </w:rPr>
        <w:t xml:space="preserve"> на Община </w:t>
      </w:r>
      <w:proofErr w:type="spellStart"/>
      <w:r w:rsidRPr="0010578F">
        <w:rPr>
          <w:i/>
          <w:lang w:val="ru-RU"/>
        </w:rPr>
        <w:t>Русе</w:t>
      </w:r>
      <w:proofErr w:type="spellEnd"/>
    </w:p>
    <w:p w:rsidR="00EC201E" w:rsidRDefault="00EC201E" w:rsidP="00DF1257">
      <w:pPr>
        <w:jc w:val="center"/>
        <w:rPr>
          <w:rFonts w:eastAsia="MS ??"/>
          <w:b/>
          <w:caps/>
        </w:rPr>
      </w:pPr>
    </w:p>
    <w:p w:rsidR="00EC201E" w:rsidRDefault="00EC201E" w:rsidP="00DF1257">
      <w:pPr>
        <w:jc w:val="center"/>
        <w:rPr>
          <w:rFonts w:eastAsia="MS ??"/>
          <w:b/>
          <w:caps/>
        </w:rPr>
      </w:pPr>
    </w:p>
    <w:p w:rsidR="00DF1257" w:rsidRPr="001D5C4F" w:rsidRDefault="00DF1257" w:rsidP="00DF1257">
      <w:pPr>
        <w:jc w:val="center"/>
        <w:rPr>
          <w:rFonts w:eastAsia="MS ??"/>
          <w:b/>
          <w:caps/>
        </w:rPr>
      </w:pPr>
      <w:r w:rsidRPr="001D5C4F">
        <w:rPr>
          <w:rFonts w:eastAsia="MS ??"/>
          <w:b/>
          <w:caps/>
        </w:rPr>
        <w:t xml:space="preserve"> ТЕХНИЧЕСК</w:t>
      </w:r>
      <w:r w:rsidR="003910B8" w:rsidRPr="001D5C4F">
        <w:rPr>
          <w:rFonts w:eastAsia="MS ??"/>
          <w:b/>
          <w:caps/>
        </w:rPr>
        <w:t>а</w:t>
      </w:r>
      <w:r w:rsidRPr="001D5C4F">
        <w:rPr>
          <w:rFonts w:eastAsia="MS ??"/>
          <w:b/>
          <w:caps/>
        </w:rPr>
        <w:t xml:space="preserve"> СПЕЦИФИКАЦИ</w:t>
      </w:r>
      <w:r w:rsidR="003910B8" w:rsidRPr="001D5C4F">
        <w:rPr>
          <w:rFonts w:eastAsia="MS ??"/>
          <w:b/>
          <w:caps/>
        </w:rPr>
        <w:t>я</w:t>
      </w:r>
      <w:r w:rsidRPr="001D5C4F">
        <w:rPr>
          <w:rFonts w:eastAsia="MS ??"/>
          <w:b/>
          <w:caps/>
        </w:rPr>
        <w:t xml:space="preserve">  </w:t>
      </w:r>
    </w:p>
    <w:p w:rsidR="00DF1257" w:rsidRPr="001D5C4F" w:rsidRDefault="00DF1257" w:rsidP="00DF1257">
      <w:pPr>
        <w:jc w:val="center"/>
        <w:rPr>
          <w:rFonts w:eastAsia="MS ??"/>
          <w:b/>
          <w:caps/>
        </w:rPr>
      </w:pPr>
    </w:p>
    <w:p w:rsidR="00DF1257" w:rsidRPr="001D5C4F" w:rsidRDefault="00DF1257" w:rsidP="00DF1257">
      <w:pPr>
        <w:pStyle w:val="1"/>
        <w:jc w:val="both"/>
        <w:rPr>
          <w:sz w:val="24"/>
          <w:szCs w:val="24"/>
        </w:rPr>
      </w:pPr>
      <w:r w:rsidRPr="001D5C4F">
        <w:rPr>
          <w:sz w:val="24"/>
          <w:szCs w:val="24"/>
        </w:rPr>
        <w:t xml:space="preserve">ТЕХНИЧЕСКИ ИЗИСКВАНИЯ ЗА ИЗПЪЛНЕНИЕ НА ДЕЙНОСТИТЕ </w:t>
      </w:r>
    </w:p>
    <w:p w:rsidR="00DF1257" w:rsidRPr="001D5C4F" w:rsidRDefault="00DF1257" w:rsidP="00DF1257"/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Конкретните отговорности на Изпълнителя са извършване на:</w:t>
      </w:r>
    </w:p>
    <w:p w:rsidR="00DF1257" w:rsidRPr="001D5C4F" w:rsidRDefault="00DF1257" w:rsidP="00DF1257">
      <w:pPr>
        <w:jc w:val="both"/>
        <w:rPr>
          <w:b/>
        </w:rPr>
      </w:pPr>
    </w:p>
    <w:p w:rsidR="00DF1257" w:rsidRPr="001D5C4F" w:rsidRDefault="00DF1257" w:rsidP="009A4D2D">
      <w:pPr>
        <w:contextualSpacing/>
        <w:jc w:val="both"/>
      </w:pPr>
      <w:r w:rsidRPr="001D5C4F">
        <w:t>Упражняване на строителен надзор</w:t>
      </w:r>
      <w:r w:rsidR="00A23875">
        <w:rPr>
          <w:lang w:val="en-US"/>
        </w:rPr>
        <w:t xml:space="preserve">, </w:t>
      </w:r>
      <w:r w:rsidR="0080079F" w:rsidRPr="0080079F">
        <w:t>в т.ч. и изготвяне на оценка на съответствието и инвеститорски контрол</w:t>
      </w:r>
      <w:r w:rsidRPr="001D5C4F">
        <w:t xml:space="preserve">: изпълнителят носи отговорност за дейностите и задълженията му като участник в инвестиционния процес, регламентирани в чл. 166 и чл. 168 от ЗУТ, както и за тези произтичащи от чл. 178 от ЗУТ. Строителният надзор се изпълнява в задължителния обхват съобразно изискванията на ЗУТ, изискванията на </w:t>
      </w:r>
      <w:bookmarkStart w:id="0" w:name="_GoBack"/>
      <w:r w:rsidRPr="001D5C4F">
        <w:t>Наредба № 3</w:t>
      </w:r>
      <w:bookmarkEnd w:id="0"/>
      <w:r w:rsidRPr="001D5C4F">
        <w:t xml:space="preserve"> от 2003 г. </w:t>
      </w:r>
      <w:r w:rsidR="00F674C7">
        <w:t xml:space="preserve">на МРРБ </w:t>
      </w:r>
      <w:r w:rsidRPr="001D5C4F">
        <w:t>за съставяне на актове и протоколи по време на строителството,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</w:t>
      </w:r>
    </w:p>
    <w:p w:rsidR="00DF1257" w:rsidRPr="001D5C4F" w:rsidRDefault="00DF1257" w:rsidP="00DF1257">
      <w:pPr>
        <w:jc w:val="both"/>
        <w:rPr>
          <w:b/>
        </w:rPr>
      </w:pPr>
    </w:p>
    <w:p w:rsidR="00F52F44" w:rsidRPr="001D5C4F" w:rsidRDefault="00DF1257" w:rsidP="00F52F44">
      <w:pPr>
        <w:spacing w:line="312" w:lineRule="auto"/>
        <w:jc w:val="both"/>
      </w:pPr>
      <w:r w:rsidRPr="001D5C4F">
        <w:rPr>
          <w:b/>
        </w:rPr>
        <w:t>Обхват на услугата</w:t>
      </w:r>
      <w:r w:rsidR="00C87633" w:rsidRPr="001D5C4F">
        <w:rPr>
          <w:b/>
        </w:rPr>
        <w:t xml:space="preserve"> е</w:t>
      </w:r>
      <w:r w:rsidRPr="001D5C4F">
        <w:rPr>
          <w:b/>
        </w:rPr>
        <w:t xml:space="preserve"> </w:t>
      </w:r>
      <w:r w:rsidR="00F52F44" w:rsidRPr="001D5C4F">
        <w:t>Упражняване на строителен надзор на обекти</w:t>
      </w:r>
      <w:r w:rsidR="00F52F44" w:rsidRPr="001D5C4F">
        <w:rPr>
          <w:color w:val="FF0000"/>
        </w:rPr>
        <w:t xml:space="preserve"> </w:t>
      </w:r>
      <w:r w:rsidR="00F52F44" w:rsidRPr="001D5C4F">
        <w:rPr>
          <w:color w:val="000000" w:themeColor="text1"/>
        </w:rPr>
        <w:t xml:space="preserve">общинска собственост </w:t>
      </w:r>
      <w:r w:rsidR="00F52F44" w:rsidRPr="001D5C4F">
        <w:t>по обособени позиции:</w:t>
      </w:r>
    </w:p>
    <w:p w:rsidR="00A23875" w:rsidRPr="00F247B4" w:rsidRDefault="00A23875" w:rsidP="00A23875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7B4">
        <w:rPr>
          <w:rFonts w:ascii="Times New Roman" w:hAnsi="Times New Roman" w:cs="Times New Roman"/>
          <w:b/>
          <w:sz w:val="24"/>
          <w:szCs w:val="24"/>
        </w:rPr>
        <w:t xml:space="preserve">Упражняване на строителен надзор, </w:t>
      </w:r>
      <w:r>
        <w:rPr>
          <w:rFonts w:ascii="Times New Roman" w:hAnsi="Times New Roman" w:cs="Times New Roman"/>
          <w:b/>
          <w:sz w:val="24"/>
          <w:szCs w:val="24"/>
        </w:rPr>
        <w:t>в т.ч. и изготвяне на оценка на съответствието и инвеститорски контрол:</w:t>
      </w:r>
    </w:p>
    <w:p w:rsidR="00A23875" w:rsidRDefault="00A23875" w:rsidP="00A23875">
      <w:pPr>
        <w:spacing w:line="312" w:lineRule="auto"/>
        <w:jc w:val="both"/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 1:</w:t>
      </w:r>
      <w:r w:rsidRPr="00E80CF7">
        <w:t xml:space="preserve">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„Детска ясла №6 на третия етаж в ДМСДГ на ул. „Н. Вапцаров“ №20“ </w:t>
      </w:r>
    </w:p>
    <w:p w:rsidR="00A23875" w:rsidRPr="00CD7E1C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E1C">
        <w:rPr>
          <w:rFonts w:ascii="Times New Roman" w:hAnsi="Times New Roman" w:cs="Times New Roman"/>
          <w:sz w:val="24"/>
          <w:szCs w:val="24"/>
        </w:rPr>
        <w:t xml:space="preserve">„Изграждане на нов корпус към дом „Милосърдие“, гр. Русе, кв. „Родина 3“, ул. „Белмекен“ №16“ </w:t>
      </w:r>
    </w:p>
    <w:p w:rsidR="00A23875" w:rsidRPr="00E80CF7" w:rsidRDefault="00A23875" w:rsidP="00A23875">
      <w:pPr>
        <w:spacing w:line="312" w:lineRule="auto"/>
        <w:jc w:val="both"/>
      </w:pPr>
    </w:p>
    <w:p w:rsidR="00A23875" w:rsidRDefault="00A23875" w:rsidP="00A23875">
      <w:pPr>
        <w:spacing w:line="312" w:lineRule="auto"/>
        <w:jc w:val="both"/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 2</w:t>
      </w:r>
      <w:r w:rsidRPr="00E80CF7">
        <w:rPr>
          <w:u w:val="single"/>
        </w:rPr>
        <w:t>:</w:t>
      </w:r>
      <w:r w:rsidRPr="00E80CF7">
        <w:t xml:space="preserve"> </w:t>
      </w:r>
    </w:p>
    <w:p w:rsidR="00A23875" w:rsidRPr="00E50589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89">
        <w:rPr>
          <w:rFonts w:ascii="Times New Roman" w:hAnsi="Times New Roman" w:cs="Times New Roman"/>
          <w:sz w:val="24"/>
          <w:szCs w:val="24"/>
        </w:rPr>
        <w:t>Ремонт на покрив и реставрации на фасада на корпус „А“, Доходно здание, пл. „Свобода“</w:t>
      </w:r>
    </w:p>
    <w:p w:rsidR="00A23875" w:rsidRDefault="00A23875" w:rsidP="00A23875">
      <w:pPr>
        <w:spacing w:line="312" w:lineRule="auto"/>
        <w:jc w:val="both"/>
      </w:pPr>
    </w:p>
    <w:p w:rsidR="00A23875" w:rsidRDefault="00A23875" w:rsidP="00A23875">
      <w:pPr>
        <w:spacing w:line="312" w:lineRule="auto"/>
        <w:jc w:val="both"/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</w:t>
      </w:r>
      <w:r w:rsidRPr="00E80CF7">
        <w:rPr>
          <w:u w:val="single"/>
        </w:rPr>
        <w:t xml:space="preserve"> </w:t>
      </w:r>
      <w:r w:rsidRPr="00E80CF7">
        <w:rPr>
          <w:b/>
          <w:u w:val="single"/>
        </w:rPr>
        <w:t>3</w:t>
      </w:r>
      <w:r w:rsidRPr="00E80CF7">
        <w:rPr>
          <w:u w:val="single"/>
        </w:rPr>
        <w:t>:</w:t>
      </w:r>
      <w:r w:rsidRPr="00E80CF7">
        <w:t xml:space="preserve">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D7E1C">
        <w:rPr>
          <w:rFonts w:ascii="Times New Roman" w:hAnsi="Times New Roman" w:cs="Times New Roman"/>
          <w:sz w:val="24"/>
          <w:szCs w:val="24"/>
        </w:rPr>
        <w:t>Дъждовен канал в гр. Мартен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D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75" w:rsidRPr="00CD7E1C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D7E1C">
        <w:rPr>
          <w:rFonts w:ascii="Times New Roman" w:hAnsi="Times New Roman" w:cs="Times New Roman"/>
          <w:sz w:val="24"/>
          <w:szCs w:val="24"/>
        </w:rPr>
        <w:t xml:space="preserve">Реконструкция на ВиК инсталация, корекция на вертикална планировка и ремонт на двора на СОУЕЕ „Св. Константин Кирил Философ“ </w:t>
      </w:r>
    </w:p>
    <w:p w:rsidR="00A23875" w:rsidRPr="00CD7E1C" w:rsidRDefault="00A23875" w:rsidP="00A23875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D7E1C">
        <w:rPr>
          <w:rFonts w:ascii="Times New Roman" w:hAnsi="Times New Roman" w:cs="Times New Roman"/>
          <w:sz w:val="24"/>
          <w:szCs w:val="24"/>
        </w:rPr>
        <w:t xml:space="preserve">Отводняване участък от ул. „Дебър“ в района на спортен комплекс „Ялта“ </w:t>
      </w:r>
    </w:p>
    <w:p w:rsidR="00A23875" w:rsidRPr="00BF4B2D" w:rsidRDefault="00A23875" w:rsidP="00A23875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F4B2D">
        <w:rPr>
          <w:rFonts w:ascii="Times New Roman" w:hAnsi="Times New Roman" w:cs="Times New Roman"/>
          <w:sz w:val="24"/>
          <w:szCs w:val="24"/>
        </w:rPr>
        <w:t>Реконструкция на сградната канализация на Детска ясла №15, ул. „Околчица“ №4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23875" w:rsidRPr="00BD70CF" w:rsidRDefault="00A23875" w:rsidP="00A23875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D70CF">
        <w:rPr>
          <w:rFonts w:ascii="Times New Roman" w:hAnsi="Times New Roman" w:cs="Times New Roman"/>
          <w:sz w:val="24"/>
          <w:szCs w:val="24"/>
        </w:rPr>
        <w:t xml:space="preserve">Канализационно отклонение и площадкова канализация към гробищен парк „Чародейка“ </w:t>
      </w:r>
    </w:p>
    <w:p w:rsidR="00A23875" w:rsidRDefault="00A23875" w:rsidP="00A23875">
      <w:pPr>
        <w:spacing w:line="312" w:lineRule="auto"/>
        <w:jc w:val="both"/>
        <w:rPr>
          <w:b/>
        </w:rPr>
      </w:pPr>
      <w:r w:rsidRPr="00E80CF7">
        <w:rPr>
          <w:b/>
          <w:u w:val="single"/>
        </w:rPr>
        <w:lastRenderedPageBreak/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</w:t>
      </w:r>
      <w:r w:rsidRPr="00E80CF7">
        <w:rPr>
          <w:u w:val="single"/>
        </w:rPr>
        <w:t xml:space="preserve"> </w:t>
      </w:r>
      <w:r w:rsidRPr="00E80CF7">
        <w:rPr>
          <w:b/>
          <w:u w:val="single"/>
        </w:rPr>
        <w:t>4</w:t>
      </w:r>
      <w:r w:rsidRPr="00E80CF7">
        <w:rPr>
          <w:u w:val="single"/>
        </w:rPr>
        <w:t>:</w:t>
      </w:r>
      <w:r w:rsidRPr="005D24F6">
        <w:rPr>
          <w:b/>
        </w:rPr>
        <w:t xml:space="preserve"> </w:t>
      </w:r>
    </w:p>
    <w:p w:rsidR="00A23875" w:rsidRPr="00E80CF7" w:rsidRDefault="00A23875" w:rsidP="00A23875">
      <w:pPr>
        <w:spacing w:line="312" w:lineRule="auto"/>
        <w:jc w:val="both"/>
      </w:pPr>
      <w:r>
        <w:t xml:space="preserve">- </w:t>
      </w:r>
      <w:r w:rsidRPr="00E80CF7">
        <w:t>„Изграждане на осветление на територията на град Русе“ със следните етапи (подобекти):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 xml:space="preserve">ул. „Пенчо Славейков“ от ул. „Иван Вазов“ до ул. „К. Иречек‘; 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 xml:space="preserve">по </w:t>
      </w:r>
      <w:r w:rsidRPr="00E80CF7">
        <w:t>ул. „</w:t>
      </w:r>
      <w:r>
        <w:t>Братислава</w:t>
      </w:r>
      <w:r w:rsidRPr="00E80CF7">
        <w:t>“</w:t>
      </w:r>
      <w:r>
        <w:t>;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>около бл. „А. Попов“ и бл. „Едисон“;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>- Осветление по ул. „Иван Вазов“, ул. „</w:t>
      </w:r>
      <w:r>
        <w:t>К. Димчев</w:t>
      </w:r>
      <w:r w:rsidRPr="00E80CF7">
        <w:t>“</w:t>
      </w:r>
      <w:r>
        <w:t xml:space="preserve"> и ул. „Даскал Никола“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 xml:space="preserve">около </w:t>
      </w:r>
      <w:r w:rsidRPr="00E80CF7">
        <w:t>бл. „</w:t>
      </w:r>
      <w:r>
        <w:t>Гурко</w:t>
      </w:r>
      <w:r w:rsidRPr="00E80CF7">
        <w:t>“</w:t>
      </w:r>
      <w:r>
        <w:t xml:space="preserve">, ул. „Мария Луиза“ №19; </w:t>
      </w:r>
    </w:p>
    <w:p w:rsidR="00A23875" w:rsidRPr="00E80CF7" w:rsidRDefault="00A23875" w:rsidP="00A23875">
      <w:pPr>
        <w:spacing w:line="312" w:lineRule="auto"/>
        <w:ind w:firstLine="1134"/>
        <w:jc w:val="both"/>
      </w:pPr>
      <w:r w:rsidRPr="00E80CF7">
        <w:t xml:space="preserve">- Осветление </w:t>
      </w:r>
      <w:r>
        <w:t>по ул. „М. Арнаудов“;</w:t>
      </w:r>
    </w:p>
    <w:p w:rsidR="00A23875" w:rsidRDefault="00A23875" w:rsidP="00A23875">
      <w:pPr>
        <w:pStyle w:val="a3"/>
        <w:tabs>
          <w:tab w:val="left" w:pos="284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0A40">
        <w:rPr>
          <w:rFonts w:ascii="Times New Roman" w:hAnsi="Times New Roman" w:cs="Times New Roman"/>
          <w:sz w:val="24"/>
          <w:szCs w:val="24"/>
        </w:rPr>
        <w:t xml:space="preserve">- Осветление </w:t>
      </w:r>
      <w:r>
        <w:rPr>
          <w:rFonts w:ascii="Times New Roman" w:hAnsi="Times New Roman" w:cs="Times New Roman"/>
          <w:sz w:val="24"/>
          <w:szCs w:val="24"/>
        </w:rPr>
        <w:t>пространството между ул. „Ангел Кънчев“, ул. „Асен Златаров“ и ул. „П. Д. Петков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A3656">
        <w:rPr>
          <w:rFonts w:ascii="Times New Roman" w:hAnsi="Times New Roman" w:cs="Times New Roman"/>
          <w:sz w:val="24"/>
          <w:szCs w:val="24"/>
        </w:rPr>
        <w:t>Изгра</w:t>
      </w:r>
      <w:r>
        <w:rPr>
          <w:rFonts w:ascii="Times New Roman" w:hAnsi="Times New Roman" w:cs="Times New Roman"/>
          <w:sz w:val="24"/>
          <w:szCs w:val="24"/>
        </w:rPr>
        <w:t xml:space="preserve">ждане на трансформаторен пост в ПИ 63427.2.5735 – крайбрежна ивица на  гр. Русе, в т.ч. и реконструкция на съществуващи кабели ниско и средно напрежение (Гребна база) </w:t>
      </w:r>
    </w:p>
    <w:p w:rsidR="00A23875" w:rsidRDefault="00A23875" w:rsidP="00A23875">
      <w:pPr>
        <w:spacing w:line="312" w:lineRule="auto"/>
        <w:jc w:val="both"/>
        <w:rPr>
          <w:b/>
          <w:u w:val="single"/>
        </w:rPr>
      </w:pPr>
    </w:p>
    <w:p w:rsidR="00A23875" w:rsidRDefault="00A23875" w:rsidP="00A23875">
      <w:pPr>
        <w:spacing w:line="312" w:lineRule="auto"/>
        <w:jc w:val="both"/>
        <w:rPr>
          <w:lang w:val="en-US"/>
        </w:rPr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</w:t>
      </w:r>
      <w:r w:rsidRPr="00E80CF7">
        <w:rPr>
          <w:u w:val="single"/>
        </w:rPr>
        <w:t xml:space="preserve"> </w:t>
      </w:r>
      <w:r>
        <w:rPr>
          <w:b/>
          <w:u w:val="single"/>
          <w:lang w:val="en-US"/>
        </w:rPr>
        <w:t>5</w:t>
      </w:r>
      <w:r w:rsidRPr="00E80CF7">
        <w:rPr>
          <w:u w:val="single"/>
        </w:rPr>
        <w:t>:</w:t>
      </w:r>
      <w:r>
        <w:rPr>
          <w:lang w:val="en-US"/>
        </w:rPr>
        <w:t xml:space="preserve">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бл. 131 и бл. 133, ул. Юндола, кв. Здравец“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на бл. Медик в кв. Чародейка“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на бл. „Скопие“, бл. „Ниш“, бл. „Битоля“, бл. „Охрид“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на бл. „Опал“ и бл. „Дружба“ </w:t>
      </w:r>
    </w:p>
    <w:p w:rsidR="00A23875" w:rsidRDefault="00A23875" w:rsidP="00A2387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„Благоустрояване на ЦЮР 1 и околните пространства“ </w:t>
      </w:r>
    </w:p>
    <w:p w:rsidR="00A23875" w:rsidRDefault="00A23875" w:rsidP="00A23875">
      <w:pPr>
        <w:spacing w:line="312" w:lineRule="auto"/>
        <w:jc w:val="both"/>
        <w:rPr>
          <w:b/>
          <w:u w:val="single"/>
        </w:rPr>
      </w:pPr>
    </w:p>
    <w:p w:rsidR="00A23875" w:rsidRDefault="00A23875" w:rsidP="00A23875">
      <w:pPr>
        <w:spacing w:line="312" w:lineRule="auto"/>
        <w:jc w:val="both"/>
        <w:rPr>
          <w:lang w:val="en-US"/>
        </w:rPr>
      </w:pPr>
      <w:r w:rsidRPr="00E80CF7">
        <w:rPr>
          <w:b/>
          <w:u w:val="single"/>
        </w:rPr>
        <w:t>Обособена пози</w:t>
      </w:r>
      <w:r>
        <w:rPr>
          <w:b/>
          <w:u w:val="single"/>
        </w:rPr>
        <w:t>ц</w:t>
      </w:r>
      <w:r w:rsidRPr="00E80CF7">
        <w:rPr>
          <w:b/>
          <w:u w:val="single"/>
        </w:rPr>
        <w:t>ия</w:t>
      </w:r>
      <w:r w:rsidRPr="00E80CF7">
        <w:rPr>
          <w:u w:val="single"/>
        </w:rPr>
        <w:t xml:space="preserve"> </w:t>
      </w:r>
      <w:r>
        <w:rPr>
          <w:b/>
          <w:u w:val="single"/>
        </w:rPr>
        <w:t>6</w:t>
      </w:r>
      <w:r w:rsidRPr="00E80CF7">
        <w:rPr>
          <w:u w:val="single"/>
        </w:rPr>
        <w:t>:</w:t>
      </w:r>
      <w:r>
        <w:rPr>
          <w:lang w:val="en-US"/>
        </w:rPr>
        <w:t xml:space="preserve"> </w:t>
      </w:r>
    </w:p>
    <w:p w:rsidR="00A23875" w:rsidRPr="00AE485A" w:rsidRDefault="00A23875" w:rsidP="00A23875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3AE9">
        <w:rPr>
          <w:rFonts w:ascii="Times New Roman" w:hAnsi="Times New Roman" w:cs="Times New Roman"/>
          <w:sz w:val="24"/>
          <w:szCs w:val="24"/>
        </w:rPr>
        <w:t xml:space="preserve">Изпълнение на мерки за </w:t>
      </w:r>
      <w:r>
        <w:rPr>
          <w:rFonts w:ascii="Times New Roman" w:hAnsi="Times New Roman" w:cs="Times New Roman"/>
          <w:sz w:val="24"/>
          <w:szCs w:val="24"/>
        </w:rPr>
        <w:t xml:space="preserve">Енергийна ефективност на система за улично осветление на гр. Русе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етап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23875" w:rsidRDefault="00A23875" w:rsidP="00A23875">
      <w:pPr>
        <w:spacing w:line="312" w:lineRule="auto"/>
        <w:jc w:val="both"/>
        <w:rPr>
          <w:b/>
          <w:u w:val="single"/>
        </w:rPr>
      </w:pPr>
    </w:p>
    <w:p w:rsidR="00A23875" w:rsidRPr="009739BB" w:rsidRDefault="00A23875" w:rsidP="00A23875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Изготвяне на оценки на съответствието на инвестиционни проекти: </w:t>
      </w:r>
    </w:p>
    <w:p w:rsidR="00A23875" w:rsidRDefault="00A23875" w:rsidP="00A23875">
      <w:pPr>
        <w:spacing w:line="312" w:lineRule="auto"/>
        <w:jc w:val="both"/>
        <w:rPr>
          <w:b/>
          <w:u w:val="single"/>
        </w:rPr>
      </w:pPr>
    </w:p>
    <w:p w:rsidR="00A23875" w:rsidRDefault="00A23875" w:rsidP="00A23875">
      <w:pPr>
        <w:spacing w:line="312" w:lineRule="auto"/>
        <w:jc w:val="center"/>
        <w:rPr>
          <w:b/>
          <w:u w:val="single"/>
        </w:rPr>
      </w:pPr>
      <w:r>
        <w:rPr>
          <w:b/>
          <w:u w:val="single"/>
        </w:rPr>
        <w:t>ПРИ ОСИГУРЕНО ФИНАНСИРАНЕ</w:t>
      </w:r>
    </w:p>
    <w:p w:rsidR="00A23875" w:rsidRPr="00BD446C" w:rsidRDefault="00A23875" w:rsidP="00A23875">
      <w:pPr>
        <w:spacing w:line="312" w:lineRule="auto"/>
        <w:jc w:val="both"/>
      </w:pPr>
      <w:r w:rsidRPr="00BD446C">
        <w:rPr>
          <w:b/>
          <w:u w:val="single"/>
        </w:rPr>
        <w:t>Обособена позиция</w:t>
      </w:r>
      <w:r w:rsidRPr="00BD446C">
        <w:rPr>
          <w:u w:val="single"/>
        </w:rPr>
        <w:t xml:space="preserve"> </w:t>
      </w:r>
      <w:r>
        <w:rPr>
          <w:b/>
          <w:u w:val="single"/>
        </w:rPr>
        <w:t>7</w:t>
      </w:r>
      <w:r w:rsidRPr="00BD446C">
        <w:rPr>
          <w:u w:val="single"/>
        </w:rPr>
        <w:t>:</w:t>
      </w:r>
    </w:p>
    <w:p w:rsidR="00A23875" w:rsidRDefault="00A23875" w:rsidP="00A23875">
      <w:pPr>
        <w:pStyle w:val="a3"/>
        <w:numPr>
          <w:ilvl w:val="0"/>
          <w:numId w:val="9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A1E">
        <w:rPr>
          <w:rFonts w:ascii="Times New Roman" w:hAnsi="Times New Roman" w:cs="Times New Roman"/>
          <w:sz w:val="24"/>
          <w:szCs w:val="24"/>
        </w:rPr>
        <w:t xml:space="preserve"> „Временен открит паркинг за автомобили на ул. „Мадарски конник“, гр. Русе“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75" w:rsidRDefault="00A23875" w:rsidP="00A23875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„Осветление по главен път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-2 Русе – Разград“ </w:t>
      </w:r>
    </w:p>
    <w:p w:rsidR="00A23875" w:rsidRDefault="00A23875" w:rsidP="00A23875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„Плувен комплекс и благоустрояване кв. 304 в ИПЗ на гр. Русе“ </w:t>
      </w:r>
    </w:p>
    <w:p w:rsidR="00F52F44" w:rsidRPr="001D5C4F" w:rsidRDefault="00F52F44" w:rsidP="00F52F44">
      <w:pPr>
        <w:jc w:val="both"/>
      </w:pPr>
    </w:p>
    <w:p w:rsidR="00DF1257" w:rsidRPr="001D5C4F" w:rsidRDefault="00DF1257" w:rsidP="00F52F44">
      <w:pPr>
        <w:jc w:val="both"/>
      </w:pPr>
      <w:r w:rsidRPr="001D5C4F">
        <w:t xml:space="preserve">Изпълнителят извършва надзор по време на строителството върху всички видове СМР, които се изпълняват от строителя на съответния обект, в съответствие със законовите правомощия и задължения на изпълнителя като лице, упражняващо строителен надзор </w:t>
      </w:r>
      <w:r w:rsidRPr="001D5C4F">
        <w:lastRenderedPageBreak/>
        <w:t xml:space="preserve">на строеж. В съответствие с изискванията на Наредба № 3 от 2003 г. </w:t>
      </w:r>
      <w:r w:rsidR="00F674C7">
        <w:t xml:space="preserve">на МРРБ </w:t>
      </w:r>
      <w:r w:rsidRPr="001D5C4F">
        <w:t>за съставяне на актове и протоколи по време на строителството изпълнителят следва да:</w:t>
      </w:r>
    </w:p>
    <w:p w:rsidR="00473470" w:rsidRDefault="00473470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>
        <w:t xml:space="preserve">Изготвяне на оценка за съответствие на изготвените инвестиционни проекти, която да послужи за издаване на разрешение за строеж на съответния обект;  </w:t>
      </w:r>
    </w:p>
    <w:p w:rsidR="00DF1257" w:rsidRPr="001D5C4F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строеж;</w:t>
      </w:r>
    </w:p>
    <w:p w:rsidR="00DF1257" w:rsidRPr="001D5C4F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Съставя протокол Образец 2 за откриване на строителна площадка и определяне на строителна линия и ниво на строежа, при влязло в сила разрешение за строеж. В 3 (три) дневен срок от съставянето на този протокол заверява Заповедна книга на строежа, а в 7 (седем) дневен срок от заверката уведомява писмено общината, специализираните контролни органи и Регионалната дирекция за национален строителен контрол (РДНСК) за заверената заповедна книга;</w:t>
      </w:r>
    </w:p>
    <w:p w:rsidR="00DF1257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Подписва всички актове и протоколи по време на строителството, които се съставят по реда на действащото законодателство, за които е оправомощен да бъде съставител, или лице извършило проверка, или лице в присъствието на което е съставен документът.</w:t>
      </w:r>
    </w:p>
    <w:p w:rsidR="00DF1257" w:rsidRPr="001D5C4F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Да съставя и организира подаването от името на Възложителя на всички необходими документи, искания, заявления и др. документи пред компетентните органи, с оглед осъществяване на инвестиционния процес без прекъсване;</w:t>
      </w:r>
    </w:p>
    <w:p w:rsidR="00DF1257" w:rsidRPr="001D5C4F" w:rsidRDefault="00DF1257" w:rsidP="0036131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5C4F">
        <w:t>Да изготви и представи на Възложителя Техническия паспорт за обекта и Окончателен доклад по смисъла на Чл. 168, ал. 6 ОТ ЗУТ, изготвен в съответствие с Наредба № 2/31 юли 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5D1E7B" w:rsidRPr="00961D1C" w:rsidRDefault="005D1E7B" w:rsidP="00DF1257">
      <w:pPr>
        <w:jc w:val="both"/>
        <w:rPr>
          <w:sz w:val="16"/>
          <w:szCs w:val="16"/>
        </w:rPr>
      </w:pPr>
    </w:p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В изпълнение на своите задължения</w:t>
      </w:r>
      <w:r w:rsidR="00924C58" w:rsidRPr="001D5C4F">
        <w:rPr>
          <w:b/>
        </w:rPr>
        <w:t>, за съответната обособена позиция,</w:t>
      </w:r>
      <w:r w:rsidRPr="001D5C4F">
        <w:rPr>
          <w:b/>
        </w:rPr>
        <w:t xml:space="preserve"> Изпълнителят:</w:t>
      </w:r>
    </w:p>
    <w:p w:rsidR="00924C58" w:rsidRPr="00961D1C" w:rsidRDefault="00924C58" w:rsidP="00DF1257">
      <w:pPr>
        <w:jc w:val="both"/>
        <w:rPr>
          <w:b/>
          <w:sz w:val="12"/>
          <w:szCs w:val="16"/>
        </w:rPr>
      </w:pPr>
    </w:p>
    <w:p w:rsidR="00924C58" w:rsidRPr="001D5C4F" w:rsidRDefault="00924C58" w:rsidP="00B3077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</w:pPr>
      <w:r w:rsidRPr="001D5C4F">
        <w:t>Изготвя оценка за съответствие на изготвените инвестиционни проекти</w:t>
      </w:r>
      <w:r w:rsidR="003C176C">
        <w:t>, която да послужи за одобряване на същите и издаване на разрешение за строеж</w:t>
      </w:r>
      <w:r w:rsidRPr="001D5C4F">
        <w:t xml:space="preserve">;  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упражняване на непрекъснат строителен надзор върху изпълнението на СМР, съгласно техническите проекти и изискванията на нормативните актове;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проверка на изпълнените СМР по количества и цени и подписване на протоколи за приемане на изпълнените СМР, изготвени от Изпълнителя /бивш акт обр.19/;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съставянето на актовете и протоколите, в съответствие с изискванията на Наредба № 3 (ДВ, бр. 72/2003)</w:t>
      </w:r>
      <w:r w:rsidR="00F674C7">
        <w:rPr>
          <w:rFonts w:eastAsia="Times New Roman"/>
        </w:rPr>
        <w:t xml:space="preserve"> на МРРБ</w:t>
      </w:r>
      <w:r w:rsidRPr="001D5C4F">
        <w:rPr>
          <w:rFonts w:eastAsia="Times New Roman"/>
        </w:rPr>
        <w:t>, по време на строително-монтажните дейности;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201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спазването на условията за безопасност на труда, съобразно Закона за здравословни и безопасни условия на труд (ЗБУТ) и наредбите към него(ДВ, бр. 37 от 2004 г.);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205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контрол по опазване на околната среда по време на изпълнение на строително-монтажните дейности, в съответствие със Закона за опазване на околната среда (ЗООС) и Закона за управление на отпадъците и наредбите към тях;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 xml:space="preserve">контрол върху съответствието на влаганите материали и продукти, съгласно изискванията на Наредбата за съществените изисквания и оценяване на съответствието </w:t>
      </w:r>
      <w:r w:rsidRPr="001D5C4F">
        <w:rPr>
          <w:rFonts w:eastAsia="Times New Roman"/>
        </w:rPr>
        <w:lastRenderedPageBreak/>
        <w:t xml:space="preserve">на строителните продукти (ДВ, бр. 93/2000 п, изм. ДВ, бр. 75/2002 г., 109/2003 г.). В тази връзка </w:t>
      </w:r>
      <w:r w:rsidRPr="001D5C4F">
        <w:rPr>
          <w:rFonts w:eastAsia="Calibri"/>
        </w:rPr>
        <w:t>Извършва контролни проверки по чл. 169б, ал. 2 ЗУТ, на доставените на строежа строителни продукти (вкл. продукти, които представляват система от компоненти), които се влагат в отделните три строежа, за да се осигури спазването на изискването на чл. 169а, ал. 1 и на наредбата по чл. 169а, ал. 2 от ЗУТ, вкл. извършва проверки за съответствие на: техническите показатели на доставените строителни продукти с данните в представените от строителя сертификати и протоколи от изпитвания, със заложените в инвестиционния проект във фаза технически проект технически показатели и енергийни характеристики, както и с техническата документация за продуктите от офертата на строителя и от одобрената подробна количествено-стойностна сметка за съответния строеж</w:t>
      </w:r>
      <w:r w:rsidRPr="001D5C4F">
        <w:rPr>
          <w:rFonts w:eastAsia="Times New Roman"/>
        </w:rPr>
        <w:t>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8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недопускане на увреждане на трети лица и имоти в следствие на строителството;</w:t>
      </w:r>
    </w:p>
    <w:p w:rsidR="00DF1257" w:rsidRPr="001D5C4F" w:rsidRDefault="00DF1257" w:rsidP="00B30777">
      <w:pPr>
        <w:numPr>
          <w:ilvl w:val="0"/>
          <w:numId w:val="3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строежите, проверките свързани с изпълнението на строежите съобразно одобрените инвестиционни проекти и изискванията по чл. 169, ал. 1, 3 и 4 ЗУТ;</w:t>
      </w:r>
    </w:p>
    <w:p w:rsidR="00DF1257" w:rsidRPr="001D5C4F" w:rsidRDefault="00DF1257" w:rsidP="00B30777">
      <w:pPr>
        <w:tabs>
          <w:tab w:val="left" w:pos="426"/>
        </w:tabs>
        <w:spacing w:before="240" w:after="160"/>
        <w:contextualSpacing/>
        <w:jc w:val="both"/>
        <w:rPr>
          <w:rFonts w:eastAsia="Calibri"/>
          <w:color w:val="FF0000"/>
        </w:rPr>
      </w:pPr>
    </w:p>
    <w:p w:rsidR="00DF1257" w:rsidRPr="001D5C4F" w:rsidRDefault="00DF1257" w:rsidP="00B30777">
      <w:pPr>
        <w:numPr>
          <w:ilvl w:val="0"/>
          <w:numId w:val="3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  <w:color w:val="FF0000"/>
        </w:rPr>
      </w:pPr>
      <w:r w:rsidRPr="001D5C4F">
        <w:rPr>
          <w:rFonts w:eastAsia="Calibri"/>
        </w:rPr>
        <w:t>по време на изпълнение на строителните и монтажни работи осигурява постоянно присъствие на експертите от своя екип по всички проектни части, като се задължава да използва екип от правоспособни физически лица с доказан професионален опит и технически компетентности, необходими за осъществяване на дейностите, свързани с упражняване на строителен надзор. Екипът трябва да отговаря на изискванията на чл. 6, ал. 2, предложение второ от Наредбата за условията и реда за издаване на лицензи на консултанти за оценяване на съответствието на инвестиционните проекти и/или упражняване на строителен надзор;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right="46" w:firstLine="0"/>
        <w:jc w:val="both"/>
        <w:rPr>
          <w:rFonts w:eastAsia="Times New Roman"/>
        </w:rPr>
      </w:pPr>
      <w:r w:rsidRPr="001D5C4F">
        <w:rPr>
          <w:rFonts w:eastAsia="Times New Roman"/>
        </w:rPr>
        <w:t>осигуряване (</w:t>
      </w:r>
      <w:r w:rsidRPr="001D5C4F">
        <w:rPr>
          <w:rFonts w:eastAsia="Times New Roman"/>
          <w:b/>
        </w:rPr>
        <w:t>проверява за/удостоверява</w:t>
      </w:r>
      <w:r w:rsidRPr="001D5C4F">
        <w:rPr>
          <w:rFonts w:eastAsia="Times New Roman"/>
        </w:rPr>
        <w:t>) присъствието на авторския надзор по съответните части на техническите проекти на обекта по време на изпълнение на строително-монтажните дейности;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right="46" w:firstLine="0"/>
        <w:jc w:val="both"/>
        <w:rPr>
          <w:rFonts w:eastAsia="Times New Roman"/>
        </w:rPr>
      </w:pPr>
      <w:r w:rsidRPr="001D5C4F">
        <w:rPr>
          <w:rFonts w:eastAsia="Times New Roman"/>
        </w:rPr>
        <w:t>подписване на всички междинни и окончателни актове и протоколи, издадени по време на строителството и необходими за оценка на качеството на изпълнените работи;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Calibri"/>
        </w:rPr>
        <w:t>при необходимост изготвяне оценка за съответствие за преработка на инвестиционния проект по смисъла на чл. 154 от ЗУТ и съставя екзекутивна документация на строежа, след фактическото му завършване, изпълнителят заверява екзекутивната документация заедно с останалите участници в строителството;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внасяне на екзекутивната документация за безсрочно съхранение на органа, издал разрешението за строеж и в Агенцията по кадастъра в необходимия обем;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 xml:space="preserve">съставяне на констативни актове, след завършване на строително-монтажните работи, съвместно с Възложителя и Изпълнителите на проектирането и строително-монтажните дейности, с които удостоверява, че строежът е изпълнен съобразно одобрените проекти, заверената екзекутивна документация, изискванията към строежа и условията на сключения договор. С този акт се извършва предаване на строежите от Изпълнителя </w:t>
      </w:r>
      <w:r w:rsidRPr="001D5C4F">
        <w:rPr>
          <w:rFonts w:eastAsia="Times New Roman"/>
        </w:rPr>
        <w:lastRenderedPageBreak/>
        <w:t>на строително- монтажните дейности на Възложителя;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>съдействие на Възложителя, след завършването на строително-монтажните работи и приключване на приемните изпитвания, да направи (регистрира) искане за въвеждането на обектите в експлоатация, като се представят окончателни доклади и други, съгласно изискванията на ЗУТ;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Times New Roman"/>
        </w:rPr>
        <w:t xml:space="preserve">актуализиране и/или изготвяне на нов технически паспорти на строежите, съгласно изискванията на Наредба № 5/28.12.2006 г. </w:t>
      </w:r>
      <w:r w:rsidRPr="001D5C4F">
        <w:rPr>
          <w:rFonts w:eastAsia="Calibri"/>
        </w:rPr>
        <w:t xml:space="preserve">Техническият паспорт се предава на Възложителя на хартиен носител в </w:t>
      </w:r>
      <w:r w:rsidR="00B31655">
        <w:rPr>
          <w:rFonts w:eastAsia="Calibri"/>
        </w:rPr>
        <w:t>3</w:t>
      </w:r>
      <w:r w:rsidRPr="001D5C4F">
        <w:rPr>
          <w:rFonts w:eastAsia="Calibri"/>
        </w:rPr>
        <w:t xml:space="preserve"> (три) екземпляра, всеки от които е придружен с електронен носител във формат “</w:t>
      </w:r>
      <w:proofErr w:type="spellStart"/>
      <w:r w:rsidRPr="001D5C4F">
        <w:rPr>
          <w:rFonts w:eastAsia="Calibri"/>
        </w:rPr>
        <w:t>doc</w:t>
      </w:r>
      <w:proofErr w:type="spellEnd"/>
      <w:r w:rsidRPr="001D5C4F">
        <w:rPr>
          <w:rFonts w:eastAsia="Calibri"/>
        </w:rPr>
        <w:t>“ и „</w:t>
      </w:r>
      <w:proofErr w:type="spellStart"/>
      <w:r w:rsidRPr="001D5C4F">
        <w:rPr>
          <w:rFonts w:eastAsia="Calibri"/>
        </w:rPr>
        <w:t>pdf</w:t>
      </w:r>
      <w:proofErr w:type="spellEnd"/>
      <w:r w:rsidRPr="001D5C4F">
        <w:rPr>
          <w:rFonts w:eastAsia="Calibri"/>
        </w:rPr>
        <w:t>“, съответстващ на хартиения. Електронното копие се представя на CD носител;</w:t>
      </w:r>
    </w:p>
    <w:p w:rsidR="00DF1257" w:rsidRPr="001D5C4F" w:rsidRDefault="00DF1257" w:rsidP="00B30777">
      <w:pPr>
        <w:widowControl w:val="0"/>
        <w:numPr>
          <w:ilvl w:val="0"/>
          <w:numId w:val="3"/>
        </w:numPr>
        <w:tabs>
          <w:tab w:val="left" w:pos="190"/>
          <w:tab w:val="left" w:pos="426"/>
        </w:tabs>
        <w:spacing w:before="240" w:after="160" w:line="259" w:lineRule="auto"/>
        <w:ind w:left="0" w:firstLine="0"/>
        <w:jc w:val="both"/>
        <w:rPr>
          <w:rFonts w:eastAsia="Times New Roman"/>
        </w:rPr>
      </w:pPr>
      <w:r w:rsidRPr="001D5C4F">
        <w:rPr>
          <w:rFonts w:eastAsia="Calibri"/>
        </w:rPr>
        <w:t xml:space="preserve">изготвя окончателен доклад до Възложителя, съгласно изискванията на ЗУТ, след приключване на строителните и монтажни работи. Докладът се представя на хартиен носител в </w:t>
      </w:r>
      <w:r w:rsidR="009B3BD2">
        <w:rPr>
          <w:rFonts w:eastAsia="Calibri"/>
        </w:rPr>
        <w:t>2</w:t>
      </w:r>
      <w:r w:rsidRPr="001D5C4F">
        <w:rPr>
          <w:rFonts w:eastAsia="Calibri"/>
        </w:rPr>
        <w:t xml:space="preserve"> (</w:t>
      </w:r>
      <w:r w:rsidR="009B3BD2">
        <w:rPr>
          <w:rFonts w:eastAsia="Calibri"/>
        </w:rPr>
        <w:t>два</w:t>
      </w:r>
      <w:r w:rsidRPr="001D5C4F">
        <w:rPr>
          <w:rFonts w:eastAsia="Calibri"/>
        </w:rPr>
        <w:t>) екземпляра, всеки от които е придружен с електронен носител във формат „</w:t>
      </w:r>
      <w:proofErr w:type="spellStart"/>
      <w:r w:rsidRPr="001D5C4F">
        <w:rPr>
          <w:rFonts w:eastAsia="Calibri"/>
        </w:rPr>
        <w:t>pdf</w:t>
      </w:r>
      <w:proofErr w:type="spellEnd"/>
      <w:r w:rsidRPr="001D5C4F">
        <w:rPr>
          <w:rFonts w:eastAsia="Calibri"/>
        </w:rPr>
        <w:t>“ и “</w:t>
      </w:r>
      <w:proofErr w:type="spellStart"/>
      <w:r w:rsidRPr="001D5C4F">
        <w:rPr>
          <w:rFonts w:eastAsia="Calibri"/>
        </w:rPr>
        <w:t>doc</w:t>
      </w:r>
      <w:proofErr w:type="spellEnd"/>
      <w:r w:rsidRPr="001D5C4F">
        <w:rPr>
          <w:rFonts w:eastAsia="Calibri"/>
        </w:rPr>
        <w:t xml:space="preserve">”, съответстващ на хартиения. Електронното копие на доклада се представя на CD носител; </w:t>
      </w:r>
    </w:p>
    <w:p w:rsidR="00DF1257" w:rsidRPr="001D5C4F" w:rsidRDefault="00DF1257" w:rsidP="00B30777">
      <w:pPr>
        <w:numPr>
          <w:ilvl w:val="0"/>
          <w:numId w:val="4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контролира качеството на извършваните СМР и предотвратява с действията си по компетентност нарушаването на технологичната им последователност, чрез издаването на предписания и заповеди, които вписва в заповедната книга на строежа;</w:t>
      </w:r>
    </w:p>
    <w:p w:rsidR="00DF1257" w:rsidRPr="001D5C4F" w:rsidRDefault="00DF1257" w:rsidP="00B30777">
      <w:pPr>
        <w:tabs>
          <w:tab w:val="left" w:pos="426"/>
        </w:tabs>
        <w:spacing w:after="160"/>
        <w:contextualSpacing/>
        <w:rPr>
          <w:rFonts w:eastAsia="Calibri"/>
        </w:rPr>
      </w:pPr>
    </w:p>
    <w:p w:rsidR="00DF1257" w:rsidRPr="001D5C4F" w:rsidRDefault="00DF1257" w:rsidP="00B30777">
      <w:pPr>
        <w:numPr>
          <w:ilvl w:val="0"/>
          <w:numId w:val="4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присъства на всички заседания между участниците в инвестиционния процес, независимо по чие искане или работен план-график се провеждат, като всеки път докладва за основните дейности (видове работи) от строежа, за които до този момент е упражнен текущ строителен надзор по строителството, съставените документи (актове), както и за възникнали проблеми (ако има такива) и съответно необходимите мерки за решаването им;</w:t>
      </w:r>
    </w:p>
    <w:p w:rsidR="00DF1257" w:rsidRPr="001D5C4F" w:rsidRDefault="00DF1257" w:rsidP="00B30777">
      <w:pPr>
        <w:tabs>
          <w:tab w:val="left" w:pos="426"/>
        </w:tabs>
        <w:spacing w:after="160" w:line="259" w:lineRule="auto"/>
        <w:contextualSpacing/>
        <w:rPr>
          <w:rFonts w:eastAsia="Calibri"/>
        </w:rPr>
      </w:pPr>
    </w:p>
    <w:p w:rsidR="00532B7D" w:rsidRDefault="00DF1257" w:rsidP="00B30777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 xml:space="preserve">Контролира задължителното изпълнение на заповедите на проектанта на строежа, вписани в заповедната книга на строежа, свързани с авторското му право и недопуска действия от страна на строителя, които биха довели до неспазване на изработения от проектанта, съгласуван и одобрен инвестиционния проект на всеки един от трите строежа поотделно. </w:t>
      </w:r>
    </w:p>
    <w:p w:rsidR="005D1E7B" w:rsidRDefault="005D1E7B" w:rsidP="00B30777">
      <w:pPr>
        <w:tabs>
          <w:tab w:val="left" w:pos="426"/>
        </w:tabs>
        <w:spacing w:after="160" w:line="259" w:lineRule="auto"/>
        <w:contextualSpacing/>
        <w:jc w:val="both"/>
        <w:rPr>
          <w:rFonts w:eastAsia="Calibri"/>
        </w:rPr>
      </w:pPr>
    </w:p>
    <w:p w:rsidR="00DF1257" w:rsidRDefault="00DF1257" w:rsidP="00B30777">
      <w:pPr>
        <w:numPr>
          <w:ilvl w:val="0"/>
          <w:numId w:val="5"/>
        </w:numPr>
        <w:tabs>
          <w:tab w:val="left" w:pos="426"/>
        </w:tabs>
        <w:spacing w:before="240" w:after="160" w:line="259" w:lineRule="auto"/>
        <w:ind w:left="0" w:firstLine="0"/>
        <w:contextualSpacing/>
        <w:jc w:val="both"/>
        <w:rPr>
          <w:rFonts w:eastAsia="Calibri"/>
        </w:rPr>
      </w:pPr>
      <w:r w:rsidRPr="001D5C4F">
        <w:rPr>
          <w:rFonts w:eastAsia="Calibri"/>
        </w:rPr>
        <w:t>Взема решения за спиране и пускане на строежа, съгласувано с Възложителя;</w:t>
      </w:r>
    </w:p>
    <w:p w:rsidR="005D1E7B" w:rsidRPr="001D5C4F" w:rsidRDefault="005D1E7B" w:rsidP="00B30777">
      <w:pPr>
        <w:tabs>
          <w:tab w:val="left" w:pos="426"/>
        </w:tabs>
        <w:spacing w:before="240" w:after="160" w:line="259" w:lineRule="auto"/>
        <w:contextualSpacing/>
        <w:jc w:val="both"/>
        <w:rPr>
          <w:rFonts w:eastAsia="Calibri"/>
        </w:rPr>
      </w:pPr>
    </w:p>
    <w:p w:rsidR="00DF1257" w:rsidRPr="001D5C4F" w:rsidRDefault="00DF1257" w:rsidP="00B30777">
      <w:pPr>
        <w:numPr>
          <w:ilvl w:val="0"/>
          <w:numId w:val="5"/>
        </w:numPr>
        <w:tabs>
          <w:tab w:val="left" w:pos="426"/>
        </w:tabs>
        <w:spacing w:before="240" w:after="160"/>
        <w:ind w:left="0" w:firstLine="0"/>
        <w:contextualSpacing/>
        <w:jc w:val="both"/>
        <w:rPr>
          <w:b/>
        </w:rPr>
      </w:pPr>
      <w:r w:rsidRPr="001D5C4F">
        <w:rPr>
          <w:rFonts w:eastAsia="Calibri"/>
        </w:rPr>
        <w:t>В рамките на 2 (два) работни дни изпълнителят изготвя писмено констатации, които представя на Възложителя, ако възникне необходимост от промени във видовете работи на съответния обект, във връзка с обстоятелства, които не са могли да бъдат предвидени по време на процеса на проектиране, но задължително преди тези промени да са извършени от строителя. Констатациите включват подробно описание на причините и необходимостта от възникналите промени, приложение към основния файл с констатации, съдържащо доказателствен снимков материал – монтаж върху хартиен носител на местата, където са установени проблемите.</w:t>
      </w:r>
    </w:p>
    <w:p w:rsidR="00DF1257" w:rsidRPr="001D5C4F" w:rsidRDefault="00DF1257" w:rsidP="00DF1257">
      <w:pPr>
        <w:jc w:val="both"/>
        <w:rPr>
          <w:b/>
        </w:rPr>
      </w:pPr>
    </w:p>
    <w:p w:rsidR="00DF1257" w:rsidRPr="001D5C4F" w:rsidRDefault="00DF1257" w:rsidP="00DF1257">
      <w:pPr>
        <w:jc w:val="both"/>
        <w:rPr>
          <w:b/>
        </w:rPr>
      </w:pPr>
      <w:r w:rsidRPr="001D5C4F">
        <w:rPr>
          <w:b/>
        </w:rPr>
        <w:t>Изискване за представяне на крайния продукт</w:t>
      </w:r>
    </w:p>
    <w:p w:rsidR="00DF1257" w:rsidRPr="001D5C4F" w:rsidRDefault="00DF1257" w:rsidP="00DF1257">
      <w:pPr>
        <w:jc w:val="both"/>
      </w:pPr>
      <w:r w:rsidRPr="001D5C4F">
        <w:lastRenderedPageBreak/>
        <w:t>Изпълнителят предоставя на Възложителя:</w:t>
      </w:r>
    </w:p>
    <w:p w:rsidR="002D5C8E" w:rsidRDefault="002D5C8E" w:rsidP="00DF1257">
      <w:pPr>
        <w:numPr>
          <w:ilvl w:val="0"/>
          <w:numId w:val="2"/>
        </w:numPr>
        <w:contextualSpacing/>
        <w:jc w:val="both"/>
      </w:pPr>
      <w:r>
        <w:t>Оценка за съответствие на инвестиционния проект, която да послужи за одобряване на същите, респективно издаване на разрешение за строеж;</w:t>
      </w:r>
    </w:p>
    <w:p w:rsidR="00DF1257" w:rsidRPr="001D5C4F" w:rsidRDefault="00DF1257" w:rsidP="00DF1257">
      <w:pPr>
        <w:numPr>
          <w:ilvl w:val="0"/>
          <w:numId w:val="2"/>
        </w:numPr>
        <w:contextualSpacing/>
        <w:jc w:val="both"/>
      </w:pPr>
      <w:r w:rsidRPr="001D5C4F">
        <w:t>Актуализиран и/или нов технически паспорт на обекта/строежа, за който е упражнил строителен надзор по време на строителството;</w:t>
      </w:r>
    </w:p>
    <w:p w:rsidR="00DF1257" w:rsidRPr="001D5C4F" w:rsidRDefault="00DF1257" w:rsidP="00DF1257">
      <w:pPr>
        <w:numPr>
          <w:ilvl w:val="0"/>
          <w:numId w:val="2"/>
        </w:numPr>
        <w:contextualSpacing/>
        <w:jc w:val="both"/>
      </w:pPr>
      <w:r w:rsidRPr="001D5C4F">
        <w:t>Окончателен доклад до Възложителя, съгласно изискванията на чл. 168, ал. 6 от ЗУТ, след приключване на строителните и монтажни работи за всеки обект/строеж, за който изпълнителят е упражнил строителен надзор по време на строителството.</w:t>
      </w:r>
    </w:p>
    <w:p w:rsidR="00DF1257" w:rsidRPr="001D5C4F" w:rsidRDefault="00DF1257" w:rsidP="00DF1257">
      <w:pPr>
        <w:jc w:val="both"/>
      </w:pPr>
      <w:r w:rsidRPr="001D5C4F">
        <w:t xml:space="preserve">Всички документи се представят на хартиен носител в </w:t>
      </w:r>
      <w:r w:rsidR="00163574">
        <w:t xml:space="preserve">2 </w:t>
      </w:r>
      <w:r w:rsidRPr="001D5C4F">
        <w:t>(</w:t>
      </w:r>
      <w:r w:rsidR="00163574">
        <w:t>3 за техническия паспорт</w:t>
      </w:r>
      <w:r w:rsidRPr="001D5C4F">
        <w:t>) екземпляра, всеки от които е придружен с електронен носител във формат „</w:t>
      </w:r>
      <w:proofErr w:type="spellStart"/>
      <w:r w:rsidRPr="001D5C4F">
        <w:t>pdf</w:t>
      </w:r>
      <w:proofErr w:type="spellEnd"/>
      <w:r w:rsidRPr="001D5C4F">
        <w:t>“ и “</w:t>
      </w:r>
      <w:proofErr w:type="spellStart"/>
      <w:r w:rsidRPr="001D5C4F">
        <w:t>doc</w:t>
      </w:r>
      <w:proofErr w:type="spellEnd"/>
      <w:r w:rsidRPr="001D5C4F">
        <w:t>”, съответстващ на хартиения. Електронното копие на доклада се представя на CD носител.</w:t>
      </w:r>
    </w:p>
    <w:p w:rsidR="00DF1257" w:rsidRPr="001D5C4F" w:rsidRDefault="00DF1257" w:rsidP="00DF1257">
      <w:pPr>
        <w:jc w:val="both"/>
      </w:pPr>
    </w:p>
    <w:p w:rsidR="00DF1257" w:rsidRPr="001D5C4F" w:rsidRDefault="00DF1257" w:rsidP="00DF1257">
      <w:pPr>
        <w:jc w:val="both"/>
      </w:pPr>
      <w:r w:rsidRPr="001D5C4F">
        <w:rPr>
          <w:b/>
        </w:rPr>
        <w:t>СРОК ЗА ИЗПЪЛНЕНИЕ</w:t>
      </w:r>
      <w:r w:rsidRPr="001D5C4F">
        <w:t xml:space="preserve">: До въвеждането на обектите/строежите в експлоатация. </w:t>
      </w:r>
    </w:p>
    <w:p w:rsidR="00DF1257" w:rsidRPr="001D5C4F" w:rsidRDefault="00DF1257" w:rsidP="00DF1257">
      <w:pPr>
        <w:jc w:val="both"/>
      </w:pPr>
    </w:p>
    <w:p w:rsidR="00DF1257" w:rsidRPr="001C074C" w:rsidRDefault="00DF1257" w:rsidP="001C074C">
      <w:pPr>
        <w:spacing w:line="312" w:lineRule="auto"/>
        <w:jc w:val="both"/>
      </w:pPr>
      <w:r w:rsidRPr="001D5C4F">
        <w:rPr>
          <w:b/>
          <w:u w:val="single"/>
        </w:rPr>
        <w:t>ВАЖНО! Възложителят обявява успоредно с настоящата поръчка и</w:t>
      </w:r>
      <w:r w:rsidR="00803AE0">
        <w:rPr>
          <w:b/>
          <w:u w:val="single"/>
        </w:rPr>
        <w:t xml:space="preserve"> </w:t>
      </w:r>
      <w:r w:rsidR="002C65A1">
        <w:rPr>
          <w:b/>
          <w:u w:val="single"/>
        </w:rPr>
        <w:t xml:space="preserve">следните </w:t>
      </w:r>
      <w:r w:rsidR="00803AE0">
        <w:rPr>
          <w:b/>
          <w:u w:val="single"/>
        </w:rPr>
        <w:t xml:space="preserve"> </w:t>
      </w:r>
      <w:r w:rsidRPr="001D5C4F">
        <w:rPr>
          <w:b/>
          <w:u w:val="single"/>
        </w:rPr>
        <w:t xml:space="preserve"> обществен</w:t>
      </w:r>
      <w:r w:rsidR="00803AE0">
        <w:rPr>
          <w:b/>
          <w:u w:val="single"/>
        </w:rPr>
        <w:t>и</w:t>
      </w:r>
      <w:r w:rsidRPr="001D5C4F">
        <w:rPr>
          <w:b/>
          <w:u w:val="single"/>
        </w:rPr>
        <w:t xml:space="preserve"> поръчк</w:t>
      </w:r>
      <w:r w:rsidR="00803AE0">
        <w:rPr>
          <w:b/>
          <w:u w:val="single"/>
        </w:rPr>
        <w:t xml:space="preserve">и: </w:t>
      </w:r>
      <w:r w:rsidR="004049C6">
        <w:rPr>
          <w:b/>
          <w:u w:val="single"/>
        </w:rPr>
        <w:t xml:space="preserve">1. </w:t>
      </w:r>
      <w:r w:rsidR="00B86C77">
        <w:rPr>
          <w:b/>
          <w:u w:val="single"/>
        </w:rPr>
        <w:t>З</w:t>
      </w:r>
      <w:r w:rsidRPr="001D5C4F">
        <w:rPr>
          <w:b/>
          <w:u w:val="single"/>
        </w:rPr>
        <w:t xml:space="preserve">а избор на </w:t>
      </w:r>
      <w:r w:rsidR="00803AE0">
        <w:rPr>
          <w:b/>
          <w:u w:val="single"/>
        </w:rPr>
        <w:t>проектант</w:t>
      </w:r>
      <w:r w:rsidRPr="001D5C4F">
        <w:rPr>
          <w:b/>
          <w:u w:val="single"/>
        </w:rPr>
        <w:t xml:space="preserve"> за </w:t>
      </w:r>
      <w:r w:rsidR="00B86C77">
        <w:rPr>
          <w:b/>
          <w:u w:val="single"/>
        </w:rPr>
        <w:t xml:space="preserve">обектите в </w:t>
      </w:r>
      <w:r w:rsidRPr="001D5C4F">
        <w:rPr>
          <w:b/>
          <w:u w:val="single"/>
        </w:rPr>
        <w:t>обособени позиции</w:t>
      </w:r>
      <w:r w:rsidR="00B86C77">
        <w:rPr>
          <w:b/>
          <w:u w:val="single"/>
        </w:rPr>
        <w:t xml:space="preserve"> </w:t>
      </w:r>
      <w:r w:rsidR="005B21B1">
        <w:rPr>
          <w:b/>
          <w:u w:val="single"/>
        </w:rPr>
        <w:t>1, 3, 4, 5</w:t>
      </w:r>
      <w:r w:rsidR="00612318">
        <w:rPr>
          <w:b/>
          <w:u w:val="single"/>
        </w:rPr>
        <w:t>;</w:t>
      </w:r>
      <w:r w:rsidR="00B86C77">
        <w:rPr>
          <w:b/>
          <w:u w:val="single"/>
        </w:rPr>
        <w:t xml:space="preserve"> </w:t>
      </w:r>
      <w:r w:rsidR="00612318">
        <w:rPr>
          <w:b/>
          <w:u w:val="single"/>
        </w:rPr>
        <w:t>2. З</w:t>
      </w:r>
      <w:r w:rsidR="00B86C77">
        <w:rPr>
          <w:b/>
          <w:u w:val="single"/>
        </w:rPr>
        <w:t>а</w:t>
      </w:r>
      <w:r w:rsidR="002630E8">
        <w:rPr>
          <w:b/>
          <w:u w:val="single"/>
        </w:rPr>
        <w:t xml:space="preserve"> избор на изпълнител на инженеринг за</w:t>
      </w:r>
      <w:r w:rsidR="005B21B1">
        <w:rPr>
          <w:b/>
          <w:u w:val="single"/>
        </w:rPr>
        <w:t xml:space="preserve"> обекта</w:t>
      </w:r>
      <w:r w:rsidR="009A3144">
        <w:rPr>
          <w:b/>
          <w:u w:val="single"/>
        </w:rPr>
        <w:t xml:space="preserve"> в</w:t>
      </w:r>
      <w:r w:rsidR="00B86C77">
        <w:rPr>
          <w:b/>
          <w:u w:val="single"/>
        </w:rPr>
        <w:t xml:space="preserve"> </w:t>
      </w:r>
      <w:r w:rsidR="00F91005">
        <w:rPr>
          <w:b/>
          <w:u w:val="single"/>
        </w:rPr>
        <w:t xml:space="preserve">обособена позиция 1 – „Изграждане на нов корпус към дом „Милосърдие“, гр. Русе, кв. Родина 3, ул. </w:t>
      </w:r>
      <w:r w:rsidR="004068B0">
        <w:rPr>
          <w:b/>
          <w:u w:val="single"/>
        </w:rPr>
        <w:t>„</w:t>
      </w:r>
      <w:r w:rsidR="00F91005">
        <w:rPr>
          <w:b/>
          <w:u w:val="single"/>
        </w:rPr>
        <w:t>Белмекен</w:t>
      </w:r>
      <w:r w:rsidR="004068B0">
        <w:rPr>
          <w:b/>
          <w:u w:val="single"/>
        </w:rPr>
        <w:t>“ №16“</w:t>
      </w:r>
      <w:r w:rsidR="004049C6">
        <w:rPr>
          <w:b/>
          <w:u w:val="single"/>
        </w:rPr>
        <w:t>;</w:t>
      </w:r>
      <w:r w:rsidR="002C65A1">
        <w:rPr>
          <w:b/>
          <w:u w:val="single"/>
        </w:rPr>
        <w:t xml:space="preserve"> </w:t>
      </w:r>
      <w:r w:rsidR="00612318">
        <w:rPr>
          <w:b/>
          <w:u w:val="single"/>
        </w:rPr>
        <w:t>3</w:t>
      </w:r>
      <w:r w:rsidR="004049C6">
        <w:rPr>
          <w:b/>
          <w:u w:val="single"/>
        </w:rPr>
        <w:t xml:space="preserve">. </w:t>
      </w:r>
      <w:r w:rsidR="002C65A1">
        <w:rPr>
          <w:b/>
          <w:u w:val="single"/>
        </w:rPr>
        <w:t>За избор на изпълнител на „</w:t>
      </w:r>
      <w:r w:rsidR="002C65A1" w:rsidRPr="004049C6">
        <w:rPr>
          <w:b/>
          <w:u w:val="single"/>
        </w:rPr>
        <w:t>Инженеринг (проектиране, авторски надзор и строителство) за изпълнение на мерки за енергийна ефективност по системата за улично осветление на град Русе“</w:t>
      </w:r>
      <w:r w:rsidR="004049C6">
        <w:rPr>
          <w:b/>
          <w:u w:val="single"/>
        </w:rPr>
        <w:t>;</w:t>
      </w:r>
      <w:r w:rsidRPr="001D5C4F">
        <w:rPr>
          <w:b/>
          <w:u w:val="single"/>
        </w:rPr>
        <w:t xml:space="preserve"> </w:t>
      </w:r>
      <w:r w:rsidR="004049C6">
        <w:rPr>
          <w:b/>
          <w:u w:val="single"/>
        </w:rPr>
        <w:t xml:space="preserve">3. </w:t>
      </w:r>
      <w:r w:rsidR="001C074C">
        <w:rPr>
          <w:b/>
          <w:u w:val="single"/>
        </w:rPr>
        <w:t xml:space="preserve">За обект </w:t>
      </w:r>
      <w:r w:rsidR="001C074C" w:rsidRPr="001C074C">
        <w:rPr>
          <w:b/>
          <w:u w:val="single"/>
        </w:rPr>
        <w:t>„</w:t>
      </w:r>
      <w:r w:rsidR="00BD4552" w:rsidRPr="00BD4552">
        <w:rPr>
          <w:b/>
          <w:u w:val="single"/>
        </w:rPr>
        <w:t>Ремонт на покрив и реставрации на фасада на корпус „А“, Доходно здание, пл. „Свобода</w:t>
      </w:r>
      <w:r w:rsidR="001C074C" w:rsidRPr="001C074C">
        <w:rPr>
          <w:b/>
          <w:u w:val="single"/>
        </w:rPr>
        <w:t>“</w:t>
      </w:r>
      <w:r w:rsidR="001C074C">
        <w:rPr>
          <w:b/>
          <w:u w:val="single"/>
        </w:rPr>
        <w:t xml:space="preserve"> има </w:t>
      </w:r>
      <w:r w:rsidR="00BD4552">
        <w:rPr>
          <w:b/>
          <w:u w:val="single"/>
        </w:rPr>
        <w:t>изготвен инвестиционен проект</w:t>
      </w:r>
      <w:r w:rsidR="001C074C">
        <w:rPr>
          <w:b/>
          <w:u w:val="single"/>
        </w:rPr>
        <w:t xml:space="preserve">, като </w:t>
      </w:r>
      <w:r w:rsidR="00BD4552">
        <w:rPr>
          <w:b/>
          <w:u w:val="single"/>
        </w:rPr>
        <w:t>към настоящия момент тече съгласувателна процедура на същия</w:t>
      </w:r>
      <w:r w:rsidR="00EC201E">
        <w:rPr>
          <w:b/>
          <w:u w:val="single"/>
        </w:rPr>
        <w:t>.</w:t>
      </w:r>
      <w:r w:rsidR="001C074C" w:rsidRPr="00EC201E">
        <w:rPr>
          <w:u w:val="single"/>
        </w:rPr>
        <w:t xml:space="preserve"> </w:t>
      </w:r>
      <w:r w:rsidRPr="001D5C4F">
        <w:rPr>
          <w:b/>
          <w:u w:val="single"/>
        </w:rPr>
        <w:t>Документацията</w:t>
      </w:r>
      <w:r w:rsidR="00EC201E">
        <w:rPr>
          <w:b/>
          <w:u w:val="single"/>
        </w:rPr>
        <w:t xml:space="preserve"> по всички визирани по-горе поръчки</w:t>
      </w:r>
      <w:r w:rsidRPr="001D5C4F">
        <w:rPr>
          <w:b/>
          <w:u w:val="single"/>
        </w:rPr>
        <w:t xml:space="preserve"> е достъпна на мястото </w:t>
      </w:r>
      <w:r w:rsidR="00EC6DF3">
        <w:rPr>
          <w:b/>
          <w:u w:val="single"/>
        </w:rPr>
        <w:t>на</w:t>
      </w:r>
      <w:r w:rsidRPr="001D5C4F">
        <w:rPr>
          <w:b/>
          <w:u w:val="single"/>
        </w:rPr>
        <w:t xml:space="preserve"> профила на купувача, определено за тази поръчка, като част от </w:t>
      </w:r>
      <w:r w:rsidR="00EC201E">
        <w:rPr>
          <w:b/>
          <w:u w:val="single"/>
        </w:rPr>
        <w:t>тях</w:t>
      </w:r>
      <w:r w:rsidRPr="001D5C4F">
        <w:rPr>
          <w:b/>
          <w:u w:val="single"/>
        </w:rPr>
        <w:t xml:space="preserve"> са техническите сп</w:t>
      </w:r>
      <w:r w:rsidR="009A3144">
        <w:rPr>
          <w:b/>
          <w:u w:val="single"/>
        </w:rPr>
        <w:t>ецификации за отделните позиции и технически задания за проектиране на съответните обекти</w:t>
      </w:r>
      <w:r w:rsidRPr="001D5C4F">
        <w:rPr>
          <w:b/>
          <w:u w:val="single"/>
        </w:rPr>
        <w:t>.</w:t>
      </w:r>
      <w:r w:rsidR="009A3144">
        <w:rPr>
          <w:b/>
          <w:u w:val="single"/>
        </w:rPr>
        <w:t xml:space="preserve"> </w:t>
      </w:r>
      <w:r w:rsidRPr="001D5C4F">
        <w:rPr>
          <w:b/>
          <w:u w:val="single"/>
        </w:rPr>
        <w:t xml:space="preserve"> </w:t>
      </w:r>
    </w:p>
    <w:p w:rsidR="00DF1257" w:rsidRPr="001D5C4F" w:rsidRDefault="00DF1257" w:rsidP="00DF1257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</w:p>
    <w:p w:rsidR="00DF1257" w:rsidRPr="001D5C4F" w:rsidRDefault="00DF1257" w:rsidP="00DF1257">
      <w:pPr>
        <w:jc w:val="both"/>
        <w:rPr>
          <w:b/>
          <w:u w:val="single"/>
        </w:rPr>
      </w:pPr>
      <w:r w:rsidRPr="001D5C4F">
        <w:rPr>
          <w:b/>
          <w:u w:val="single"/>
        </w:rPr>
        <w:t>ВАЖНО! При евентуално посочване на определен сертификат, лиценз, удостоверение, стандарт или друго подобно в настоящата спецификация,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DF1257" w:rsidRDefault="00DF1257" w:rsidP="00DF1257">
      <w:pPr>
        <w:pStyle w:val="2"/>
        <w:shd w:val="clear" w:color="auto" w:fill="auto"/>
        <w:spacing w:line="240" w:lineRule="auto"/>
        <w:ind w:firstLine="360"/>
        <w:jc w:val="left"/>
      </w:pPr>
    </w:p>
    <w:p w:rsidR="00EC201E" w:rsidRPr="001D5C4F" w:rsidRDefault="00EC201E" w:rsidP="00DF1257">
      <w:pPr>
        <w:pStyle w:val="2"/>
        <w:shd w:val="clear" w:color="auto" w:fill="auto"/>
        <w:spacing w:line="240" w:lineRule="auto"/>
        <w:ind w:firstLine="360"/>
        <w:jc w:val="left"/>
      </w:pPr>
    </w:p>
    <w:p w:rsidR="007157BB" w:rsidRDefault="007157BB"/>
    <w:sectPr w:rsidR="0071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40D"/>
    <w:multiLevelType w:val="hybridMultilevel"/>
    <w:tmpl w:val="D0223072"/>
    <w:lvl w:ilvl="0" w:tplc="CC20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2690"/>
    <w:multiLevelType w:val="hybridMultilevel"/>
    <w:tmpl w:val="370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3B45"/>
    <w:multiLevelType w:val="hybridMultilevel"/>
    <w:tmpl w:val="1F0C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E5FA1"/>
    <w:multiLevelType w:val="hybridMultilevel"/>
    <w:tmpl w:val="5B729CFE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C5213"/>
    <w:multiLevelType w:val="hybridMultilevel"/>
    <w:tmpl w:val="B8DC553C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605BD"/>
    <w:multiLevelType w:val="hybridMultilevel"/>
    <w:tmpl w:val="8744C6BA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563F"/>
    <w:multiLevelType w:val="hybridMultilevel"/>
    <w:tmpl w:val="BDC495BE"/>
    <w:lvl w:ilvl="0" w:tplc="0082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7"/>
    <w:rsid w:val="00163574"/>
    <w:rsid w:val="00195DDB"/>
    <w:rsid w:val="001C074C"/>
    <w:rsid w:val="001D5C4F"/>
    <w:rsid w:val="002630E8"/>
    <w:rsid w:val="002C65A1"/>
    <w:rsid w:val="002D5C8E"/>
    <w:rsid w:val="003550F4"/>
    <w:rsid w:val="00361317"/>
    <w:rsid w:val="003910B8"/>
    <w:rsid w:val="003C176C"/>
    <w:rsid w:val="003E1CC5"/>
    <w:rsid w:val="004049C6"/>
    <w:rsid w:val="004068B0"/>
    <w:rsid w:val="00464E03"/>
    <w:rsid w:val="00473470"/>
    <w:rsid w:val="004C309A"/>
    <w:rsid w:val="00513BEE"/>
    <w:rsid w:val="00532B7D"/>
    <w:rsid w:val="00592987"/>
    <w:rsid w:val="005B21B1"/>
    <w:rsid w:val="005D1E7B"/>
    <w:rsid w:val="00612318"/>
    <w:rsid w:val="0067535A"/>
    <w:rsid w:val="006E3AE9"/>
    <w:rsid w:val="007157BB"/>
    <w:rsid w:val="00741068"/>
    <w:rsid w:val="007B4B92"/>
    <w:rsid w:val="0080079F"/>
    <w:rsid w:val="00803AE0"/>
    <w:rsid w:val="00924C58"/>
    <w:rsid w:val="00961D1C"/>
    <w:rsid w:val="009A3144"/>
    <w:rsid w:val="009A4D2D"/>
    <w:rsid w:val="009B3BD2"/>
    <w:rsid w:val="009E2047"/>
    <w:rsid w:val="00A23875"/>
    <w:rsid w:val="00B30777"/>
    <w:rsid w:val="00B31655"/>
    <w:rsid w:val="00B86C77"/>
    <w:rsid w:val="00BD4552"/>
    <w:rsid w:val="00C87633"/>
    <w:rsid w:val="00CE6912"/>
    <w:rsid w:val="00CF79DE"/>
    <w:rsid w:val="00DF1257"/>
    <w:rsid w:val="00EC201E"/>
    <w:rsid w:val="00EC6DF3"/>
    <w:rsid w:val="00EF2A7A"/>
    <w:rsid w:val="00F161C3"/>
    <w:rsid w:val="00F52F44"/>
    <w:rsid w:val="00F674C7"/>
    <w:rsid w:val="00F91005"/>
    <w:rsid w:val="00FD70B6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7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1">
    <w:name w:val="heading 1"/>
    <w:aliases w:val="ЗАГЛАВИЕ 1"/>
    <w:basedOn w:val="a"/>
    <w:next w:val="a"/>
    <w:link w:val="10"/>
    <w:uiPriority w:val="9"/>
    <w:qFormat/>
    <w:rsid w:val="00DF1257"/>
    <w:pPr>
      <w:keepNext/>
      <w:jc w:val="center"/>
      <w:outlineLvl w:val="0"/>
    </w:pPr>
    <w:rPr>
      <w:rFonts w:eastAsia="Times New Roman"/>
      <w:b/>
      <w:sz w:val="20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basedOn w:val="a0"/>
    <w:link w:val="1"/>
    <w:uiPriority w:val="9"/>
    <w:rsid w:val="00DF1257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paragraph" w:customStyle="1" w:styleId="2">
    <w:name w:val="Основен текст2"/>
    <w:basedOn w:val="a"/>
    <w:rsid w:val="00DF1257"/>
    <w:pPr>
      <w:widowControl w:val="0"/>
      <w:shd w:val="clear" w:color="auto" w:fill="FFFFFF"/>
      <w:spacing w:line="277" w:lineRule="exact"/>
      <w:ind w:firstLine="700"/>
      <w:jc w:val="both"/>
    </w:pPr>
    <w:rPr>
      <w:rFonts w:eastAsia="Times New Roman"/>
      <w:color w:val="000000"/>
      <w:sz w:val="22"/>
      <w:szCs w:val="22"/>
      <w:lang w:eastAsia="bg-BG" w:bidi="bg-BG"/>
    </w:rPr>
  </w:style>
  <w:style w:type="paragraph" w:styleId="a3">
    <w:name w:val="List Paragraph"/>
    <w:basedOn w:val="a"/>
    <w:link w:val="a4"/>
    <w:qFormat/>
    <w:rsid w:val="00F52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Списък на абзаци Знак"/>
    <w:link w:val="a3"/>
    <w:locked/>
    <w:rsid w:val="00F52F44"/>
  </w:style>
  <w:style w:type="paragraph" w:styleId="a5">
    <w:name w:val="List"/>
    <w:basedOn w:val="a"/>
    <w:rsid w:val="00EC201E"/>
    <w:pPr>
      <w:ind w:left="283" w:hanging="283"/>
    </w:pPr>
    <w:rPr>
      <w:rFonts w:eastAsia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61D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1D1C"/>
    <w:rPr>
      <w:rFonts w:ascii="Segoe UI" w:eastAsia="Batang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7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1">
    <w:name w:val="heading 1"/>
    <w:aliases w:val="ЗАГЛАВИЕ 1"/>
    <w:basedOn w:val="a"/>
    <w:next w:val="a"/>
    <w:link w:val="10"/>
    <w:uiPriority w:val="9"/>
    <w:qFormat/>
    <w:rsid w:val="00DF1257"/>
    <w:pPr>
      <w:keepNext/>
      <w:jc w:val="center"/>
      <w:outlineLvl w:val="0"/>
    </w:pPr>
    <w:rPr>
      <w:rFonts w:eastAsia="Times New Roman"/>
      <w:b/>
      <w:sz w:val="20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basedOn w:val="a0"/>
    <w:link w:val="1"/>
    <w:uiPriority w:val="9"/>
    <w:rsid w:val="00DF1257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paragraph" w:customStyle="1" w:styleId="2">
    <w:name w:val="Основен текст2"/>
    <w:basedOn w:val="a"/>
    <w:rsid w:val="00DF1257"/>
    <w:pPr>
      <w:widowControl w:val="0"/>
      <w:shd w:val="clear" w:color="auto" w:fill="FFFFFF"/>
      <w:spacing w:line="277" w:lineRule="exact"/>
      <w:ind w:firstLine="700"/>
      <w:jc w:val="both"/>
    </w:pPr>
    <w:rPr>
      <w:rFonts w:eastAsia="Times New Roman"/>
      <w:color w:val="000000"/>
      <w:sz w:val="22"/>
      <w:szCs w:val="22"/>
      <w:lang w:eastAsia="bg-BG" w:bidi="bg-BG"/>
    </w:rPr>
  </w:style>
  <w:style w:type="paragraph" w:styleId="a3">
    <w:name w:val="List Paragraph"/>
    <w:basedOn w:val="a"/>
    <w:link w:val="a4"/>
    <w:qFormat/>
    <w:rsid w:val="00F52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Списък на абзаци Знак"/>
    <w:link w:val="a3"/>
    <w:locked/>
    <w:rsid w:val="00F52F44"/>
  </w:style>
  <w:style w:type="paragraph" w:styleId="a5">
    <w:name w:val="List"/>
    <w:basedOn w:val="a"/>
    <w:rsid w:val="00EC201E"/>
    <w:pPr>
      <w:ind w:left="283" w:hanging="283"/>
    </w:pPr>
    <w:rPr>
      <w:rFonts w:eastAsia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61D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1D1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Krasteva</dc:creator>
  <cp:lastModifiedBy>User</cp:lastModifiedBy>
  <cp:revision>4</cp:revision>
  <cp:lastPrinted>2017-04-21T05:33:00Z</cp:lastPrinted>
  <dcterms:created xsi:type="dcterms:W3CDTF">2018-06-06T11:52:00Z</dcterms:created>
  <dcterms:modified xsi:type="dcterms:W3CDTF">2018-06-29T12:32:00Z</dcterms:modified>
</cp:coreProperties>
</file>